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54FC5" w:rsidRPr="00954FC5" w14:paraId="3FF802AE" w14:textId="77777777" w:rsidTr="00954FC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9012371" w14:textId="77777777" w:rsidR="00954FC5" w:rsidRPr="00954FC5" w:rsidRDefault="00954FC5" w:rsidP="00954FC5">
            <w:pPr>
              <w:spacing w:after="0" w:line="240" w:lineRule="atLeast"/>
              <w:rPr>
                <w:rFonts w:ascii="Times New Roman" w:eastAsia="Times New Roman" w:hAnsi="Times New Roman" w:cs="Times New Roman"/>
                <w:sz w:val="24"/>
                <w:szCs w:val="24"/>
                <w:lang w:eastAsia="tr-TR"/>
              </w:rPr>
            </w:pPr>
            <w:r w:rsidRPr="00954FC5">
              <w:rPr>
                <w:rFonts w:ascii="Arial" w:eastAsia="Times New Roman" w:hAnsi="Arial" w:cs="Arial"/>
                <w:sz w:val="16"/>
                <w:szCs w:val="16"/>
                <w:lang w:eastAsia="tr-TR"/>
              </w:rPr>
              <w:t>26 Kasım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BB99339" w14:textId="77777777" w:rsidR="00954FC5" w:rsidRPr="00954FC5" w:rsidRDefault="00954FC5" w:rsidP="00954FC5">
            <w:pPr>
              <w:spacing w:after="0" w:line="240" w:lineRule="atLeast"/>
              <w:jc w:val="center"/>
              <w:rPr>
                <w:rFonts w:ascii="Times New Roman" w:eastAsia="Times New Roman" w:hAnsi="Times New Roman" w:cs="Times New Roman"/>
                <w:sz w:val="24"/>
                <w:szCs w:val="24"/>
                <w:lang w:eastAsia="tr-TR"/>
              </w:rPr>
            </w:pPr>
            <w:r w:rsidRPr="00954FC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951BE23" w14:textId="77777777" w:rsidR="00954FC5" w:rsidRPr="00954FC5" w:rsidRDefault="00954FC5" w:rsidP="00954FC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54FC5">
              <w:rPr>
                <w:rFonts w:ascii="Arial" w:eastAsia="Times New Roman" w:hAnsi="Arial" w:cs="Arial"/>
                <w:sz w:val="16"/>
                <w:szCs w:val="16"/>
                <w:lang w:eastAsia="tr-TR"/>
              </w:rPr>
              <w:t>Sayı :</w:t>
            </w:r>
            <w:proofErr w:type="gramEnd"/>
            <w:r w:rsidRPr="00954FC5">
              <w:rPr>
                <w:rFonts w:ascii="Arial" w:eastAsia="Times New Roman" w:hAnsi="Arial" w:cs="Arial"/>
                <w:sz w:val="16"/>
                <w:szCs w:val="16"/>
                <w:lang w:eastAsia="tr-TR"/>
              </w:rPr>
              <w:t xml:space="preserve"> 29900</w:t>
            </w:r>
          </w:p>
        </w:tc>
      </w:tr>
      <w:tr w:rsidR="00954FC5" w:rsidRPr="00954FC5" w14:paraId="11D3810B" w14:textId="77777777" w:rsidTr="00954FC5">
        <w:trPr>
          <w:trHeight w:val="480"/>
        </w:trPr>
        <w:tc>
          <w:tcPr>
            <w:tcW w:w="8789" w:type="dxa"/>
            <w:gridSpan w:val="3"/>
            <w:tcMar>
              <w:top w:w="0" w:type="dxa"/>
              <w:left w:w="108" w:type="dxa"/>
              <w:bottom w:w="0" w:type="dxa"/>
              <w:right w:w="108" w:type="dxa"/>
            </w:tcMar>
            <w:vAlign w:val="center"/>
            <w:hideMark/>
          </w:tcPr>
          <w:p w14:paraId="288BAF5E" w14:textId="77777777" w:rsidR="00954FC5" w:rsidRPr="00954FC5" w:rsidRDefault="00954FC5" w:rsidP="00954FC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54FC5">
              <w:rPr>
                <w:rFonts w:ascii="Arial" w:eastAsia="Times New Roman" w:hAnsi="Arial" w:cs="Arial"/>
                <w:b/>
                <w:bCs/>
                <w:color w:val="000080"/>
                <w:sz w:val="18"/>
                <w:szCs w:val="18"/>
                <w:lang w:eastAsia="tr-TR"/>
              </w:rPr>
              <w:t>YÖNETMELİK</w:t>
            </w:r>
          </w:p>
        </w:tc>
      </w:tr>
      <w:tr w:rsidR="00954FC5" w:rsidRPr="00954FC5" w14:paraId="757FAAA5" w14:textId="77777777" w:rsidTr="00954FC5">
        <w:trPr>
          <w:trHeight w:val="480"/>
        </w:trPr>
        <w:tc>
          <w:tcPr>
            <w:tcW w:w="8789" w:type="dxa"/>
            <w:gridSpan w:val="3"/>
            <w:tcMar>
              <w:top w:w="0" w:type="dxa"/>
              <w:left w:w="108" w:type="dxa"/>
              <w:bottom w:w="0" w:type="dxa"/>
              <w:right w:w="108" w:type="dxa"/>
            </w:tcMar>
            <w:vAlign w:val="center"/>
            <w:hideMark/>
          </w:tcPr>
          <w:p w14:paraId="7A0A38F1" w14:textId="77777777" w:rsidR="00954FC5" w:rsidRPr="00954FC5" w:rsidRDefault="00954FC5" w:rsidP="00954FC5">
            <w:pPr>
              <w:spacing w:after="0" w:line="240" w:lineRule="atLeast"/>
              <w:ind w:firstLine="566"/>
              <w:jc w:val="both"/>
              <w:rPr>
                <w:rFonts w:ascii="Times New Roman" w:eastAsia="Times New Roman" w:hAnsi="Times New Roman" w:cs="Times New Roman"/>
                <w:u w:val="single"/>
                <w:lang w:eastAsia="tr-TR"/>
              </w:rPr>
            </w:pPr>
            <w:r w:rsidRPr="00954FC5">
              <w:rPr>
                <w:rFonts w:ascii="Times New Roman" w:eastAsia="Times New Roman" w:hAnsi="Times New Roman" w:cs="Times New Roman"/>
                <w:sz w:val="18"/>
                <w:szCs w:val="18"/>
                <w:u w:val="single"/>
                <w:lang w:eastAsia="tr-TR"/>
              </w:rPr>
              <w:t>Yükseköğretim Kurulu Başkanlığından:</w:t>
            </w:r>
          </w:p>
          <w:p w14:paraId="75376D5C" w14:textId="77777777" w:rsidR="00954FC5" w:rsidRPr="00954FC5" w:rsidRDefault="00954FC5" w:rsidP="00954FC5">
            <w:pPr>
              <w:spacing w:before="56" w:after="0" w:line="240" w:lineRule="atLeast"/>
              <w:jc w:val="center"/>
              <w:rPr>
                <w:rFonts w:ascii="Times New Roman" w:eastAsia="Times New Roman" w:hAnsi="Times New Roman" w:cs="Times New Roman"/>
                <w:b/>
                <w:bCs/>
                <w:sz w:val="19"/>
                <w:szCs w:val="19"/>
                <w:lang w:eastAsia="tr-TR"/>
              </w:rPr>
            </w:pPr>
            <w:r w:rsidRPr="00954FC5">
              <w:rPr>
                <w:rFonts w:ascii="Times New Roman" w:eastAsia="Times New Roman" w:hAnsi="Times New Roman" w:cs="Times New Roman"/>
                <w:b/>
                <w:bCs/>
                <w:sz w:val="18"/>
                <w:szCs w:val="18"/>
                <w:lang w:eastAsia="tr-TR"/>
              </w:rPr>
              <w:t>YÜKSEKÖĞRETİM KURUMLARI BİLİMSEL ARAŞTIRMA</w:t>
            </w:r>
          </w:p>
          <w:p w14:paraId="6A6B4D58" w14:textId="77777777" w:rsidR="00954FC5" w:rsidRPr="00954FC5" w:rsidRDefault="00954FC5" w:rsidP="00954FC5">
            <w:pPr>
              <w:spacing w:after="0" w:line="240" w:lineRule="atLeast"/>
              <w:jc w:val="center"/>
              <w:rPr>
                <w:rFonts w:ascii="Times New Roman" w:eastAsia="Times New Roman" w:hAnsi="Times New Roman" w:cs="Times New Roman"/>
                <w:b/>
                <w:bCs/>
                <w:sz w:val="19"/>
                <w:szCs w:val="19"/>
                <w:lang w:eastAsia="tr-TR"/>
              </w:rPr>
            </w:pPr>
            <w:r w:rsidRPr="00954FC5">
              <w:rPr>
                <w:rFonts w:ascii="Times New Roman" w:eastAsia="Times New Roman" w:hAnsi="Times New Roman" w:cs="Times New Roman"/>
                <w:b/>
                <w:bCs/>
                <w:sz w:val="18"/>
                <w:szCs w:val="18"/>
                <w:lang w:eastAsia="tr-TR"/>
              </w:rPr>
              <w:t>PROJELERİ HAKKINDA YÖNETMELİK</w:t>
            </w:r>
          </w:p>
          <w:p w14:paraId="31830A9A" w14:textId="77777777" w:rsidR="00954FC5" w:rsidRPr="00954FC5" w:rsidRDefault="00954FC5" w:rsidP="00954FC5">
            <w:pPr>
              <w:spacing w:after="0" w:line="240" w:lineRule="atLeast"/>
              <w:jc w:val="center"/>
              <w:rPr>
                <w:rFonts w:ascii="Times New Roman" w:eastAsia="Times New Roman" w:hAnsi="Times New Roman" w:cs="Times New Roman"/>
                <w:b/>
                <w:bCs/>
                <w:sz w:val="19"/>
                <w:szCs w:val="19"/>
                <w:lang w:eastAsia="tr-TR"/>
              </w:rPr>
            </w:pPr>
            <w:r w:rsidRPr="00954FC5">
              <w:rPr>
                <w:rFonts w:ascii="Times New Roman" w:eastAsia="Times New Roman" w:hAnsi="Times New Roman" w:cs="Times New Roman"/>
                <w:b/>
                <w:bCs/>
                <w:sz w:val="18"/>
                <w:szCs w:val="18"/>
                <w:lang w:eastAsia="tr-TR"/>
              </w:rPr>
              <w:t> </w:t>
            </w:r>
          </w:p>
          <w:p w14:paraId="0B3A836D" w14:textId="77777777" w:rsidR="00954FC5" w:rsidRPr="00954FC5" w:rsidRDefault="00954FC5" w:rsidP="00954FC5">
            <w:pPr>
              <w:spacing w:after="0" w:line="240" w:lineRule="atLeast"/>
              <w:jc w:val="center"/>
              <w:rPr>
                <w:rFonts w:ascii="Times New Roman" w:eastAsia="Times New Roman" w:hAnsi="Times New Roman" w:cs="Times New Roman"/>
                <w:b/>
                <w:bCs/>
                <w:sz w:val="19"/>
                <w:szCs w:val="19"/>
                <w:lang w:eastAsia="tr-TR"/>
              </w:rPr>
            </w:pPr>
            <w:r w:rsidRPr="00954FC5">
              <w:rPr>
                <w:rFonts w:ascii="Times New Roman" w:eastAsia="Times New Roman" w:hAnsi="Times New Roman" w:cs="Times New Roman"/>
                <w:b/>
                <w:bCs/>
                <w:sz w:val="18"/>
                <w:szCs w:val="18"/>
                <w:lang w:eastAsia="tr-TR"/>
              </w:rPr>
              <w:t>BİRİNCİ BÖLÜM</w:t>
            </w:r>
          </w:p>
          <w:p w14:paraId="5ED09907" w14:textId="77777777" w:rsidR="00954FC5" w:rsidRPr="00954FC5" w:rsidRDefault="00954FC5" w:rsidP="00954FC5">
            <w:pPr>
              <w:spacing w:after="85" w:line="240" w:lineRule="atLeast"/>
              <w:jc w:val="center"/>
              <w:rPr>
                <w:rFonts w:ascii="Times New Roman" w:eastAsia="Times New Roman" w:hAnsi="Times New Roman" w:cs="Times New Roman"/>
                <w:b/>
                <w:bCs/>
                <w:sz w:val="19"/>
                <w:szCs w:val="19"/>
                <w:lang w:eastAsia="tr-TR"/>
              </w:rPr>
            </w:pPr>
            <w:r w:rsidRPr="00954FC5">
              <w:rPr>
                <w:rFonts w:ascii="Times New Roman" w:eastAsia="Times New Roman" w:hAnsi="Times New Roman" w:cs="Times New Roman"/>
                <w:b/>
                <w:bCs/>
                <w:sz w:val="18"/>
                <w:szCs w:val="18"/>
                <w:lang w:eastAsia="tr-TR"/>
              </w:rPr>
              <w:t>Amaç ve Kapsam, Dayanak ve Tanımlar</w:t>
            </w:r>
          </w:p>
          <w:p w14:paraId="038B96BC"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Amaç ve kapsam</w:t>
            </w:r>
          </w:p>
          <w:p w14:paraId="1D226112"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1 –</w:t>
            </w:r>
            <w:r w:rsidRPr="00954FC5">
              <w:rPr>
                <w:rFonts w:ascii="Times New Roman" w:eastAsia="Times New Roman" w:hAnsi="Times New Roman" w:cs="Times New Roman"/>
                <w:sz w:val="18"/>
                <w:szCs w:val="18"/>
                <w:lang w:eastAsia="tr-TR"/>
              </w:rPr>
              <w:t> (1) Bu Yönetmelik, yükseköğretim kurumlarında yürütülen bilimsel araştırma proje tekliflerinin değerlendirilmesi, kabulü, desteklenmesi, bunlara ilişkin hizmetlerin yürütülmesi, izlenmesi, sonuçlarının değerlendirilmesi, kamuoyuna duyurulması ve ilgili usul ve esaslar ile diğer hususları belirlemek amacıyla hazırlanmıştır.</w:t>
            </w:r>
          </w:p>
          <w:p w14:paraId="4AF2C0E9"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Dayanak</w:t>
            </w:r>
          </w:p>
          <w:p w14:paraId="5DDF8E86"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2 –</w:t>
            </w:r>
            <w:r w:rsidRPr="00954FC5">
              <w:rPr>
                <w:rFonts w:ascii="Times New Roman" w:eastAsia="Times New Roman" w:hAnsi="Times New Roman" w:cs="Times New Roman"/>
                <w:sz w:val="18"/>
                <w:szCs w:val="18"/>
                <w:lang w:eastAsia="tr-TR"/>
              </w:rPr>
              <w:t xml:space="preserve"> (1) Bu Yönetmelik, 4/11/1981 tarihli ve 2547 sayılı Yükseköğretim Kanununun </w:t>
            </w:r>
            <w:proofErr w:type="gramStart"/>
            <w:r w:rsidRPr="00954FC5">
              <w:rPr>
                <w:rFonts w:ascii="Times New Roman" w:eastAsia="Times New Roman" w:hAnsi="Times New Roman" w:cs="Times New Roman"/>
                <w:sz w:val="18"/>
                <w:szCs w:val="18"/>
                <w:lang w:eastAsia="tr-TR"/>
              </w:rPr>
              <w:t>4 üncü</w:t>
            </w:r>
            <w:proofErr w:type="gramEnd"/>
            <w:r w:rsidRPr="00954FC5">
              <w:rPr>
                <w:rFonts w:ascii="Times New Roman" w:eastAsia="Times New Roman" w:hAnsi="Times New Roman" w:cs="Times New Roman"/>
                <w:sz w:val="18"/>
                <w:szCs w:val="18"/>
                <w:lang w:eastAsia="tr-TR"/>
              </w:rPr>
              <w:t xml:space="preserve"> maddesinin birinci fıkrasının (c) bendi, 58 inci maddesinin (b) fıkrası ile Ek 28 inci maddesine dayanılarak hazırlanmıştır.</w:t>
            </w:r>
          </w:p>
          <w:p w14:paraId="646B8963"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Tanımlar ve kısaltmalar</w:t>
            </w:r>
          </w:p>
          <w:p w14:paraId="0C828B96"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3 – </w:t>
            </w:r>
            <w:r w:rsidRPr="00954FC5">
              <w:rPr>
                <w:rFonts w:ascii="Times New Roman" w:eastAsia="Times New Roman" w:hAnsi="Times New Roman" w:cs="Times New Roman"/>
                <w:sz w:val="18"/>
                <w:szCs w:val="18"/>
                <w:lang w:eastAsia="tr-TR"/>
              </w:rPr>
              <w:t>(1) Bu Yönetmelikte geçen;</w:t>
            </w:r>
          </w:p>
          <w:p w14:paraId="0731AD32"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a) Araştırmacı: 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kişileri,</w:t>
            </w:r>
          </w:p>
          <w:p w14:paraId="17CE1761"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b) Bilimsel araştırma projesi: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projelerini,</w:t>
            </w:r>
          </w:p>
          <w:p w14:paraId="5863B143"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c) Bilimsel Araştırma Projeleri Koordinasyon Birimi: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teşvik ve koordine edilmesi, yükseköğretim kurumu araştırma performansının ölçülmesi, değerlendirilmesi ve araştırma politikalarının belirlenmesiyle ilgili faaliyetlerin yürütülmesi ve üst yöneticinin bilimsel araştırma projeleri ile ilgili olarak vereceği diğer görevleri ilgili birimlerle koordine halinde yürütmekle sorumlu birimi,</w:t>
            </w:r>
          </w:p>
          <w:p w14:paraId="03944D0E"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proofErr w:type="gramStart"/>
            <w:r w:rsidRPr="00954FC5">
              <w:rPr>
                <w:rFonts w:ascii="Times New Roman" w:eastAsia="Times New Roman" w:hAnsi="Times New Roman" w:cs="Times New Roman"/>
                <w:sz w:val="18"/>
                <w:szCs w:val="18"/>
                <w:lang w:eastAsia="tr-TR"/>
              </w:rPr>
              <w:t>ç</w:t>
            </w:r>
            <w:proofErr w:type="gramEnd"/>
            <w:r w:rsidRPr="00954FC5">
              <w:rPr>
                <w:rFonts w:ascii="Times New Roman" w:eastAsia="Times New Roman" w:hAnsi="Times New Roman" w:cs="Times New Roman"/>
                <w:sz w:val="18"/>
                <w:szCs w:val="18"/>
                <w:lang w:eastAsia="tr-TR"/>
              </w:rPr>
              <w:t>) Bilimsel Araştırma Projeleri Koordinasyon Birimi Koordinatörü: Bilimsel Araştırma Projeleri Koordinasyon Biriminin faaliyetlerinin yükseköğretim kurumu adına yürütülmesinden sorumlu, üst yönetici tarafından memuriyet veya çalışma unvanına bağlı kalmaksızın, bilimsel araştırma projelerine ait faaliyetleri bu Yönetmelikte belirtilen usule uygun şekilde yapabilecek bilgi ve niteliklere sahip personel arasından görevlendirilen ve üst yöneticiye karşı sorumlu kişiyi,</w:t>
            </w:r>
          </w:p>
          <w:p w14:paraId="6B5CD345"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d) Gerçekleştirme görevlisi: 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14:paraId="6321FF51"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e) Harcamaların tasnifi: Özel hesaba aktarılan tutarlardan yapılan harcamaların analitik bütçe sınıflandırmasının ekonomik kodlama sistemine uygun olarak izlenmesi,</w:t>
            </w:r>
          </w:p>
          <w:p w14:paraId="2A4CAD01"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f) Harcama yetkilisi: Özel hesaptan harcama yetki ve sorumluluğuna sahip bilimsel araştırma projeleri koordinasyon birimi koordinatörünü,</w:t>
            </w:r>
          </w:p>
          <w:p w14:paraId="5A95CC63"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g) Harcama yetkilisi mutemedi: 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w:t>
            </w:r>
          </w:p>
          <w:p w14:paraId="3FCEE7AD"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proofErr w:type="gramStart"/>
            <w:r w:rsidRPr="00954FC5">
              <w:rPr>
                <w:rFonts w:ascii="Times New Roman" w:eastAsia="Times New Roman" w:hAnsi="Times New Roman" w:cs="Times New Roman"/>
                <w:sz w:val="18"/>
                <w:szCs w:val="18"/>
                <w:lang w:eastAsia="tr-TR"/>
              </w:rPr>
              <w:t>ğ</w:t>
            </w:r>
            <w:proofErr w:type="gramEnd"/>
            <w:r w:rsidRPr="00954FC5">
              <w:rPr>
                <w:rFonts w:ascii="Times New Roman" w:eastAsia="Times New Roman" w:hAnsi="Times New Roman" w:cs="Times New Roman"/>
                <w:sz w:val="18"/>
                <w:szCs w:val="18"/>
                <w:lang w:eastAsia="tr-TR"/>
              </w:rPr>
              <w:t>) Komisyon: Bilimsel araştırma projelerinin kabulü, değerlendirilmesi, desteklenmesi, izlenmesi ve üst yöneticinin bilimsel araştırmalarla ilgili olarak vereceği diğer görevleri yürütmek amacıyla oluşturulan komisyonu,</w:t>
            </w:r>
          </w:p>
          <w:p w14:paraId="7F9ABF65"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h) Muhasebe birimi: Yükseköğretim kurumlarında muhasebe işlemlerinin yürütüldüğü birimi,</w:t>
            </w:r>
          </w:p>
          <w:p w14:paraId="6EAD86F1"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ı) Muhasebe yetkilisi: Muhasebe biriminin yönetiminden ve yetkili mercilere karşı sorumlu olan yetkiliyi,</w:t>
            </w:r>
          </w:p>
          <w:p w14:paraId="121EB221"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 xml:space="preserve">i) Özel hesap: Yükseköğretim kurumları bütçelerinde bilimsel ve teknolojik araştırma hizmetleri için öz gelir ve hazine yardımı karşılığı olarak tefrik edilen bilimsel araştırma projelerine ilişkin ödeneklerin, ilgisine göre cari veya sermaye ekonomik kodlarından tahakkuka bağlanmak suretiyle aktarıldığı 18/11/2015 tarihli ve 29536 sayılı Resmî </w:t>
            </w:r>
            <w:r w:rsidRPr="00954FC5">
              <w:rPr>
                <w:rFonts w:ascii="Times New Roman" w:eastAsia="Times New Roman" w:hAnsi="Times New Roman" w:cs="Times New Roman"/>
                <w:sz w:val="18"/>
                <w:szCs w:val="18"/>
                <w:lang w:eastAsia="tr-TR"/>
              </w:rPr>
              <w:lastRenderedPageBreak/>
              <w:t>Gazete’de yayımlanan Kamu Haznedarlığı Genel Tebliği hükümleri çerçevesinde muhasebe birimi adına açtırılan banka hesabını,</w:t>
            </w:r>
          </w:p>
          <w:p w14:paraId="3EA46917"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j) Proje ekibi: Proje yürütücüsü ile araştırmacıları,</w:t>
            </w:r>
          </w:p>
          <w:p w14:paraId="44606DAC"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k) Proje yürütücüsü: Projeyi teklif eden, hazırlanmasından ve yürütülmesinden sorumlu olan öğretim üyeleri ile doktora, tıpta uzmanlık ya da sanatta yeterlik eğitimini tamamlamış kurum mensubu araştırmacıları,</w:t>
            </w:r>
          </w:p>
          <w:p w14:paraId="425C42EA"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l) YÖKSİS: Yükseköğretim Kurulu Başkanlığı ortak veri tabanını,</w:t>
            </w:r>
          </w:p>
          <w:p w14:paraId="687FE645"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m) Yükseköğretim kurumu: Üniversiteler ve yüksek teknoloji enstitülerini,</w:t>
            </w:r>
          </w:p>
          <w:p w14:paraId="0DB1C80D"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n) Yükseköğretim kurumu yönetim kurulu: Üniversite ve yüksek teknoloji enstitüsü yönetim kurulunu,</w:t>
            </w:r>
          </w:p>
          <w:p w14:paraId="78544C2C"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proofErr w:type="gramStart"/>
            <w:r w:rsidRPr="00954FC5">
              <w:rPr>
                <w:rFonts w:ascii="Times New Roman" w:eastAsia="Times New Roman" w:hAnsi="Times New Roman" w:cs="Times New Roman"/>
                <w:sz w:val="18"/>
                <w:szCs w:val="18"/>
                <w:lang w:eastAsia="tr-TR"/>
              </w:rPr>
              <w:t>ifade</w:t>
            </w:r>
            <w:proofErr w:type="gramEnd"/>
            <w:r w:rsidRPr="00954FC5">
              <w:rPr>
                <w:rFonts w:ascii="Times New Roman" w:eastAsia="Times New Roman" w:hAnsi="Times New Roman" w:cs="Times New Roman"/>
                <w:sz w:val="18"/>
                <w:szCs w:val="18"/>
                <w:lang w:eastAsia="tr-TR"/>
              </w:rPr>
              <w:t xml:space="preserve"> eder.</w:t>
            </w:r>
          </w:p>
          <w:p w14:paraId="54FB2FB1" w14:textId="77777777" w:rsidR="00954FC5" w:rsidRPr="00954FC5" w:rsidRDefault="00954FC5" w:rsidP="00954FC5">
            <w:pPr>
              <w:spacing w:before="85" w:after="0" w:line="240" w:lineRule="atLeast"/>
              <w:jc w:val="center"/>
              <w:rPr>
                <w:rFonts w:ascii="Times New Roman" w:eastAsia="Times New Roman" w:hAnsi="Times New Roman" w:cs="Times New Roman"/>
                <w:b/>
                <w:bCs/>
                <w:sz w:val="19"/>
                <w:szCs w:val="19"/>
                <w:lang w:eastAsia="tr-TR"/>
              </w:rPr>
            </w:pPr>
            <w:r w:rsidRPr="00954FC5">
              <w:rPr>
                <w:rFonts w:ascii="Times New Roman" w:eastAsia="Times New Roman" w:hAnsi="Times New Roman" w:cs="Times New Roman"/>
                <w:b/>
                <w:bCs/>
                <w:sz w:val="18"/>
                <w:szCs w:val="18"/>
                <w:lang w:eastAsia="tr-TR"/>
              </w:rPr>
              <w:t>İKİNCİ BÖLÜM</w:t>
            </w:r>
          </w:p>
          <w:p w14:paraId="43616EF2" w14:textId="77777777" w:rsidR="00954FC5" w:rsidRPr="00954FC5" w:rsidRDefault="00954FC5" w:rsidP="00954FC5">
            <w:pPr>
              <w:spacing w:after="85" w:line="240" w:lineRule="atLeast"/>
              <w:jc w:val="center"/>
              <w:rPr>
                <w:rFonts w:ascii="Times New Roman" w:eastAsia="Times New Roman" w:hAnsi="Times New Roman" w:cs="Times New Roman"/>
                <w:b/>
                <w:bCs/>
                <w:sz w:val="19"/>
                <w:szCs w:val="19"/>
                <w:lang w:eastAsia="tr-TR"/>
              </w:rPr>
            </w:pPr>
            <w:r w:rsidRPr="00954FC5">
              <w:rPr>
                <w:rFonts w:ascii="Times New Roman" w:eastAsia="Times New Roman" w:hAnsi="Times New Roman" w:cs="Times New Roman"/>
                <w:b/>
                <w:bCs/>
                <w:sz w:val="18"/>
                <w:szCs w:val="18"/>
                <w:lang w:eastAsia="tr-TR"/>
              </w:rPr>
              <w:t>Bilimsel Araştırma Projelerine İlişkin Genel Esaslar</w:t>
            </w:r>
          </w:p>
          <w:p w14:paraId="0BEA04FF"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Komisyon</w:t>
            </w:r>
          </w:p>
          <w:p w14:paraId="2BCE5E44"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4 – </w:t>
            </w:r>
            <w:r w:rsidRPr="00954FC5">
              <w:rPr>
                <w:rFonts w:ascii="Times New Roman" w:eastAsia="Times New Roman" w:hAnsi="Times New Roman" w:cs="Times New Roman"/>
                <w:sz w:val="18"/>
                <w:szCs w:val="18"/>
                <w:lang w:eastAsia="tr-TR"/>
              </w:rPr>
              <w:t>(1) Bu Yönetmelikte belirtilen görevlerin yürütülmesi için rektör veya görevlendireceği bir rektör yardımcısı başkanlığında senatonun önerisiyle rektör tarafından görevlendirilen, en az yedi en çok on bir öğretim üyesinden oluşan bir komisyon kurulur. Komisyon üyeleri, yükseköğretim kurumunda var olan bilim dalları arasında denge gözetilmek suretiyle dört yıl için görevlendirilir. Süresi biten üye aynı usulle yeniden görevlendirilebilir.</w:t>
            </w:r>
          </w:p>
          <w:p w14:paraId="27030FF3"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(2) Komisyon üyeleri; görev, yetki ve sorumluluklarını yerine getirmediklerinin tespit edilmesi halinde, senatonun önerisi üzerine rektör tarafından görev süreleri dolmadan görevden alınabilirler.</w:t>
            </w:r>
          </w:p>
          <w:p w14:paraId="3B87AE6D"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(3) Komisyonun görev, yetki ve sorumlulukları yükseköğretim kurumunun senatosunca çıkarılacak yönerge ile düzenlenir.</w:t>
            </w:r>
          </w:p>
          <w:p w14:paraId="5F3B5A92"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Başvuru ve değerlendirme</w:t>
            </w:r>
          </w:p>
          <w:p w14:paraId="030E7E1E"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5 –</w:t>
            </w:r>
            <w:r w:rsidRPr="00954FC5">
              <w:rPr>
                <w:rFonts w:ascii="Times New Roman" w:eastAsia="Times New Roman" w:hAnsi="Times New Roman" w:cs="Times New Roman"/>
                <w:sz w:val="18"/>
                <w:szCs w:val="18"/>
                <w:lang w:eastAsia="tr-TR"/>
              </w:rPr>
              <w:t> (1) Bilimsel araştırma projeleri için başvuru ve değerlendirme takvimi Komisyon tarafından belirlenerek ilan edilir. Proje başvuruları, projenin gerekçesi, yöntem, özgün değer, yaygın etki/katma değer, çalışma takvimi ve bütçe dökümünün ayrıntılı olarak yer aldığı proje başvuru formu ile yapılır.</w:t>
            </w:r>
          </w:p>
          <w:p w14:paraId="5E08E7AA"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Bilimsel araştırma projelerinin seçiminde dikkate alınacak ilkeler</w:t>
            </w:r>
          </w:p>
          <w:p w14:paraId="16AC4964"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6 –</w:t>
            </w:r>
            <w:r w:rsidRPr="00954FC5">
              <w:rPr>
                <w:rFonts w:ascii="Times New Roman" w:eastAsia="Times New Roman" w:hAnsi="Times New Roman" w:cs="Times New Roman"/>
                <w:sz w:val="18"/>
                <w:szCs w:val="18"/>
                <w:lang w:eastAsia="tr-TR"/>
              </w:rPr>
              <w:t> (1) Bilimsel araştırma projeleri, yükseköğretim kurumunun uzman elemanı bulunan her dal ile ilgili, ulusal bilim ve teknoloji politikalarına, ülkenin kalkınma planı hedeflerine, Bilim ve Teknoloji Yüksek Kurulu kararlarına veya yükseköğretim kurumu yönetim kurulunun belirlediği bilim politikalarına uygun konulara öncelik verilerek değerlendirilir ve seçilir. Bilimsel araştırma projelerinin bilime, ülkenin teknolojik, ekonomik, sosyal, sanatsal, kültürel gelişimine ve kalkınmasına katkı sağlaması esastır.</w:t>
            </w:r>
          </w:p>
          <w:p w14:paraId="6A8849A2"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(2) Bilimsel araştırma projelerinin seçimi ve desteklenmesinde; temel bilimler içerikli, sonuçları uygulamaya dönük, kaynakları ve faaliyetleri bakımından çok katılımlı, çok merkezli, kurumlar arası, uluslararası ve disiplinler arası nitelikteki projelere öncelik verilebilir. Lisansüstü tez araştırmaları da bilimsel araştırma projeleri kapsamında desteklenebilir.</w:t>
            </w:r>
          </w:p>
          <w:p w14:paraId="097DB08F"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(3) Bu Yönetmeliğin 5, 6, 7, 8, 9 ve 10 uncu maddelerinde bahsi geçen bilimsel araştırma projeleri ile Yılı Yatırım Programında Rektörlük Bilimsel Araştırma Projeleri ifade edilmektedir.</w:t>
            </w:r>
          </w:p>
          <w:p w14:paraId="35EB1639"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Bilimsel araştırma projelerinin kabulü, yürütülmesi ve sonuçlandırılması</w:t>
            </w:r>
          </w:p>
          <w:p w14:paraId="16C04BFF"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7 –</w:t>
            </w:r>
            <w:r w:rsidRPr="00954FC5">
              <w:rPr>
                <w:rFonts w:ascii="Times New Roman" w:eastAsia="Times New Roman" w:hAnsi="Times New Roman" w:cs="Times New Roman"/>
                <w:sz w:val="18"/>
                <w:szCs w:val="18"/>
                <w:lang w:eastAsia="tr-TR"/>
              </w:rPr>
              <w:t> (1) Desteklenmesine karar verilen projeler için, proje yürütücüsü ve Komisyon tarafından proje ile ilgili ayrıntıların belirlendiği bir protokol hazırlanır. Projenin uygulamaya geçirilmesi, hazırlanan protokolün rektör veya görevlendireceği rektör yardımcısı tarafından onaylanmasına bağlıdır. Proje yürütücüsü, bu protokolde yer alan hususlara uymakla yükümlüdür.</w:t>
            </w:r>
          </w:p>
          <w:p w14:paraId="6A302D75"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Proje raporları</w:t>
            </w:r>
          </w:p>
          <w:p w14:paraId="554CC7B5"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8 – </w:t>
            </w:r>
            <w:r w:rsidRPr="00954FC5">
              <w:rPr>
                <w:rFonts w:ascii="Times New Roman" w:eastAsia="Times New Roman" w:hAnsi="Times New Roman" w:cs="Times New Roman"/>
                <w:sz w:val="18"/>
                <w:szCs w:val="18"/>
                <w:lang w:eastAsia="tr-TR"/>
              </w:rPr>
              <w:t>(1) Kabul edilen bir projenin yürütücüsü Komisyona altı ayda bir geçmiş dönemdeki çalışmalarla ilgili bilgilerin yer aldığı ara rapor sunar. Komisyon projenin türüne ve özelliğine göre ara rapor sunma sürelerini ve koşullarını değiştirebilir. Ara raporlar Komisyon tarafından incelenir. Komisyon gerekli gördüğü durumlarda konunun uzmanlarının görüşlerine de başvurarak değerlendirme sürecini tamamlayabilir. Projelerin sonraki dilimleri ile ilgili maddi desteğin devamı Komisyonun olumlu görüşüne tabidir.</w:t>
            </w:r>
          </w:p>
          <w:p w14:paraId="7D963B4C"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(2) Proje yürütücüsü, protokolde belirtilen bitiş tarihini izleyen en geç üç ay içerisinde, araştırma sonuçlarını içeren proje sonuç raporunu Komisyon tarafından belirlenen formata uygun olarak sunar. Lisansüstü tez projeleri için, ilgili birimlerce onaylanmış tezler de sonuç raporu olarak kabul edilebilir. Sonuç raporu Komisyon tarafından değerlendirilerek projenin başarılı sayılıp sayılmayacağına karar verilir. Komisyon gerekli gördüğü durumlarda konunun uzmanlarının görüşlerine de başvurarak değerlendirme sürecini tamamlayabilir.</w:t>
            </w:r>
          </w:p>
          <w:p w14:paraId="076DDCEE"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Proje süresi ve bütçesi</w:t>
            </w:r>
          </w:p>
          <w:p w14:paraId="1CC155ED"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9 –</w:t>
            </w:r>
            <w:r w:rsidRPr="00954FC5">
              <w:rPr>
                <w:rFonts w:ascii="Times New Roman" w:eastAsia="Times New Roman" w:hAnsi="Times New Roman" w:cs="Times New Roman"/>
                <w:sz w:val="18"/>
                <w:szCs w:val="18"/>
                <w:lang w:eastAsia="tr-TR"/>
              </w:rPr>
              <w:t> (1) Projelerin Komisyon tarafından onaylanan çalışma takvimine ve bütçe planına uygun olarak yürütülmesi esastır. Ancak, gerekli hallerde proje yürütücüsünün talebi, Komisyonunun kararı ile projeler için ek süre, ilave bütçe verilebilir.</w:t>
            </w:r>
          </w:p>
          <w:p w14:paraId="400A392B"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lastRenderedPageBreak/>
              <w:t>(2) Bilimsel araştırma projeleri ek süreler dâhil en çok otuz altı ay içerisinde tamamlanır. Tez projeleri için verilen süreler, yetkili birimler tarafından tezler için verilen yasal ek süreleri kapsayacak şekilde uzatılabilir. Ancak tez projeleri için sağlanacak mali destekler, ilgili lisansüstü eğitim ve öğretim mevzuatında belirlenen normal öğrenim süreleri ile sınırlıdır.</w:t>
            </w:r>
          </w:p>
          <w:p w14:paraId="633FF8D1"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(3) Projeler için verilebilecek ek bütçe proje bütçesinin en fazla %50’si kadar olabilir.</w:t>
            </w:r>
          </w:p>
          <w:p w14:paraId="28394DBB"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Sonuçların duyurulması</w:t>
            </w:r>
          </w:p>
          <w:p w14:paraId="3967D6AD"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10 – </w:t>
            </w:r>
            <w:r w:rsidRPr="00954FC5">
              <w:rPr>
                <w:rFonts w:ascii="Times New Roman" w:eastAsia="Times New Roman" w:hAnsi="Times New Roman" w:cs="Times New Roman"/>
                <w:sz w:val="18"/>
                <w:szCs w:val="18"/>
                <w:lang w:eastAsia="tr-TR"/>
              </w:rPr>
              <w:t>(1) Rektörlük her yılın sonunda desteklenen, kapsama alınan, devam eden ve tamamlanan projeler hakkındaki özet bilgileri YÖKSİS’e girer. Bu bilgiler yükseköğretim kurumunun internet sayfasından kamuoyuna duyurulur.</w:t>
            </w:r>
          </w:p>
          <w:p w14:paraId="5FA37939" w14:textId="77777777" w:rsidR="00954FC5" w:rsidRPr="00954FC5" w:rsidRDefault="00954FC5" w:rsidP="00954FC5">
            <w:pPr>
              <w:spacing w:before="85" w:after="0" w:line="240" w:lineRule="atLeast"/>
              <w:jc w:val="center"/>
              <w:rPr>
                <w:rFonts w:ascii="Times New Roman" w:eastAsia="Times New Roman" w:hAnsi="Times New Roman" w:cs="Times New Roman"/>
                <w:b/>
                <w:bCs/>
                <w:sz w:val="19"/>
                <w:szCs w:val="19"/>
                <w:lang w:eastAsia="tr-TR"/>
              </w:rPr>
            </w:pPr>
            <w:r w:rsidRPr="00954FC5">
              <w:rPr>
                <w:rFonts w:ascii="Times New Roman" w:eastAsia="Times New Roman" w:hAnsi="Times New Roman" w:cs="Times New Roman"/>
                <w:b/>
                <w:bCs/>
                <w:sz w:val="18"/>
                <w:szCs w:val="18"/>
                <w:lang w:eastAsia="tr-TR"/>
              </w:rPr>
              <w:t>ÜÇÜNCÜ BÖLÜM</w:t>
            </w:r>
          </w:p>
          <w:p w14:paraId="1D6E5966" w14:textId="77777777" w:rsidR="00954FC5" w:rsidRPr="00954FC5" w:rsidRDefault="00954FC5" w:rsidP="00954FC5">
            <w:pPr>
              <w:spacing w:after="85" w:line="240" w:lineRule="atLeast"/>
              <w:jc w:val="center"/>
              <w:rPr>
                <w:rFonts w:ascii="Times New Roman" w:eastAsia="Times New Roman" w:hAnsi="Times New Roman" w:cs="Times New Roman"/>
                <w:b/>
                <w:bCs/>
                <w:sz w:val="19"/>
                <w:szCs w:val="19"/>
                <w:lang w:eastAsia="tr-TR"/>
              </w:rPr>
            </w:pPr>
            <w:r w:rsidRPr="00954FC5">
              <w:rPr>
                <w:rFonts w:ascii="Times New Roman" w:eastAsia="Times New Roman" w:hAnsi="Times New Roman" w:cs="Times New Roman"/>
                <w:b/>
                <w:bCs/>
                <w:sz w:val="18"/>
                <w:szCs w:val="18"/>
                <w:lang w:eastAsia="tr-TR"/>
              </w:rPr>
              <w:t>Bilimsel Araştırma Projelerinde Gelir ve Ödeneklerin Kullanımı</w:t>
            </w:r>
          </w:p>
          <w:p w14:paraId="2D6861CB"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Gelirler</w:t>
            </w:r>
          </w:p>
          <w:p w14:paraId="187C6404"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11 –</w:t>
            </w:r>
            <w:r w:rsidRPr="00954FC5">
              <w:rPr>
                <w:rFonts w:ascii="Times New Roman" w:eastAsia="Times New Roman" w:hAnsi="Times New Roman" w:cs="Times New Roman"/>
                <w:sz w:val="18"/>
                <w:szCs w:val="18"/>
                <w:lang w:eastAsia="tr-TR"/>
              </w:rPr>
              <w:t> (1) Bilimsel araştırma projelerinin finansmanında kullanılmak üzere aşağıda belirtilen gelirler, yükseköğretim kurumları bütçelerinde bilimsel ve teknolojik araştırma hizmetleri için tefrik edilen bilimsel araştırma projelerine ilişkin ödenekler, bütçelendiği tertiplerden tahakkuka bağlanarak özel hesaba aktarılmak suretiyle kullanılır:</w:t>
            </w:r>
          </w:p>
          <w:p w14:paraId="7715BAED"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a) Yükseköğretim kurumunun döner sermaye gelirlerinden 2547 sayılı Kanunun 58 inci maddesinde belirtilen oranda aktarılacak tutarlar.</w:t>
            </w:r>
          </w:p>
          <w:p w14:paraId="17B10F42"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b) Yürütülen proje ile ilgili olarak ortaya çıkan ve ticarileşmesi döner sermaye işletmesi tarafından gerçekleştirilen çıktılara ilişkin elde edilen gelirler.</w:t>
            </w:r>
          </w:p>
          <w:p w14:paraId="7EA325DF"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c) Bilimsel araştırma projeleri için yapılacak bağış ve yardımlar.</w:t>
            </w:r>
          </w:p>
          <w:p w14:paraId="53F0E67A"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proofErr w:type="gramStart"/>
            <w:r w:rsidRPr="00954FC5">
              <w:rPr>
                <w:rFonts w:ascii="Times New Roman" w:eastAsia="Times New Roman" w:hAnsi="Times New Roman" w:cs="Times New Roman"/>
                <w:sz w:val="18"/>
                <w:szCs w:val="18"/>
                <w:lang w:eastAsia="tr-TR"/>
              </w:rPr>
              <w:t>ç</w:t>
            </w:r>
            <w:proofErr w:type="gramEnd"/>
            <w:r w:rsidRPr="00954FC5">
              <w:rPr>
                <w:rFonts w:ascii="Times New Roman" w:eastAsia="Times New Roman" w:hAnsi="Times New Roman" w:cs="Times New Roman"/>
                <w:sz w:val="18"/>
                <w:szCs w:val="18"/>
                <w:lang w:eastAsia="tr-TR"/>
              </w:rPr>
              <w:t>) Yükseköğretim kurumunun izni ile yükseköğretim kurumunun yurtiçindeki veya yurtdışındaki kuruluşlarla yapacağı ortak araştırmalar için ilgili kuruluşlar tarafından ödenecek tutarlar.</w:t>
            </w:r>
          </w:p>
          <w:p w14:paraId="5BC6C9EF"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d) Diğer gelirler.</w:t>
            </w:r>
          </w:p>
          <w:p w14:paraId="743DBA13"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(2) Bilimsel araştırma projelerinin geliri olarak birinci fıkranın (a) bendinde belirtilen tutarlar, döner sermaye muhasebe birimince, tahsilatı takip eden ayın yirmisine kadar ilgili yükseköğretim kurumu hesabına yatırılır. Yatırılan bu tutarlar, yükseköğretim kurumu bütçesine öz gelir olarak kaydedilir. Kaydedilen bu tutarlar karşılığı olarak ilgili yükseköğretim kurumu bütçesine konulan ödenekler, gelir gerçekleşmelerine göre kullandırılır. Yıl içerisinde harcanmayan tutarlar likit karşılığı ödenek kaydına ilişkin esaslara göre ertesi yıl bütçesine ödenek kaydedilir. Süresi içinde yatırılmayan tutarların tahsilinde 21/7/1953 tarihli ve 6183 sayılı Amme Alacaklarının Tahsil Usulü Hakkında Kanun hükümleri uygulanır.</w:t>
            </w:r>
          </w:p>
          <w:p w14:paraId="7F186C73"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(3) Yukarıda belirtilen bilimsel ve teknolojik araştırma hizmetleri için tefrik edilen ödenekler, özel hesaba aktarılmak suretiyle kullanılır.</w:t>
            </w:r>
          </w:p>
          <w:p w14:paraId="67057A3A"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(4) 18/11/2015 tarihli ve 29536 sayılı Resmî Gazete’de yayımlanan Kamu Haznedarlığı Genel Tebliği hükümleri çerçevesinde, özel hesaptaki tutarlar değerlendirilebilir. Bu şekilde elde edilen nemalar özel hesaba gelir olarak kaydedilir.</w:t>
            </w:r>
          </w:p>
          <w:p w14:paraId="582EE60D"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Gelirler ve ödeneklerin kullanımına ilişkin ilkeler</w:t>
            </w:r>
          </w:p>
          <w:p w14:paraId="1A3C588B"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12 – </w:t>
            </w:r>
            <w:r w:rsidRPr="00954FC5">
              <w:rPr>
                <w:rFonts w:ascii="Times New Roman" w:eastAsia="Times New Roman" w:hAnsi="Times New Roman" w:cs="Times New Roman"/>
                <w:sz w:val="18"/>
                <w:szCs w:val="18"/>
                <w:lang w:eastAsia="tr-TR"/>
              </w:rPr>
              <w:t>(1) Bilimsel araştırma projelerinin özel hesaptan yürütülmesinde aşağıdaki ilkelere uyulur:</w:t>
            </w:r>
          </w:p>
          <w:p w14:paraId="181D7B7B"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a) Bilimsel araştırma projelerine ilişkin olarak yükseköğretim kurumları bütçelerinde tefrik edilen ödeneklerden, bütçelerine gider kaydı yapılmak suretiyle herhangi bir harcama yapılamaz. Söz konusu harcamalar özel hesaptan gerçekleştirilir.</w:t>
            </w:r>
          </w:p>
          <w:p w14:paraId="3E16CCE4"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b) Özel hesaba aktarılan tutarlar ve projelere ilişkin giderler, yükseköğretim kurumları bütçe hesaplarıyla ilişkilendirilmeksizin faaliyet gelir ve gider hesaplarıyla, ilgisine göre varlık ya da yükümlülük hesapları kullanılarak muhasebeleştirilir.</w:t>
            </w:r>
          </w:p>
          <w:p w14:paraId="0BBF0AF1"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c) Özel hesaba aktarılan tutarlardan yapılan harcamalar, öz gelir ve hazine yardımı karşılığı ayrımı yapılarak analitik bütçe sınıflandırmasının ekonomik kodlama sistemine uygun olarak tasnif edilir ve Bilimsel Araştırma Projeleri Koordinasyon Birimi kayıtlarında izlenir.</w:t>
            </w:r>
          </w:p>
          <w:p w14:paraId="3B13774C"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proofErr w:type="gramStart"/>
            <w:r w:rsidRPr="00954FC5">
              <w:rPr>
                <w:rFonts w:ascii="Times New Roman" w:eastAsia="Times New Roman" w:hAnsi="Times New Roman" w:cs="Times New Roman"/>
                <w:sz w:val="18"/>
                <w:szCs w:val="18"/>
                <w:lang w:eastAsia="tr-TR"/>
              </w:rPr>
              <w:t>ç</w:t>
            </w:r>
            <w:proofErr w:type="gramEnd"/>
            <w:r w:rsidRPr="00954FC5">
              <w:rPr>
                <w:rFonts w:ascii="Times New Roman" w:eastAsia="Times New Roman" w:hAnsi="Times New Roman" w:cs="Times New Roman"/>
                <w:sz w:val="18"/>
                <w:szCs w:val="18"/>
                <w:lang w:eastAsia="tr-TR"/>
              </w:rPr>
              <w:t>) Özel hesaptan yapılacak mal ve hizmet alımına yönelik harcamalarda 1/12/2003 tarihli ve 2003/6554 sayılı Bakanlar Kurulu Kararıyla yürürlüğe konulan Yükseköğretim Kurumları Tarafından, 4734 Sayılı Kamu İhale Kanununun 3 üncü Maddesinin (f) Bendi Kapsamında Yapılacak İhalelere İlişkin Karar hükümleri uygulanır.</w:t>
            </w:r>
          </w:p>
          <w:p w14:paraId="74D47DD7"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d) Özel hesaba aktarılan tutarlar, yükseköğretim kurumlarının Strateji Geliştirme Daire Başkanlıkları tarafından açılan diğer banka hesapları ile ilişkilendirilmez.</w:t>
            </w:r>
          </w:p>
          <w:p w14:paraId="16EC9C24"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Ödeneklerin kullanımı</w:t>
            </w:r>
          </w:p>
          <w:p w14:paraId="0E2ECE73"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13 – </w:t>
            </w:r>
            <w:r w:rsidRPr="00954FC5">
              <w:rPr>
                <w:rFonts w:ascii="Times New Roman" w:eastAsia="Times New Roman" w:hAnsi="Times New Roman" w:cs="Times New Roman"/>
                <w:sz w:val="18"/>
                <w:szCs w:val="18"/>
                <w:lang w:eastAsia="tr-TR"/>
              </w:rPr>
              <w:t>(1) Özel hesapta izlenen tutarlar (öz gelir ve hazine yardımı), proje süresi ile sınırlı olmak üzere bilimsel araştırma projeleri için gerekli olan sözleşmeli olarak çalıştırılacakların harcamaları, yolluk ve hizmet alımları tüketim malları ve malzeme alımları, demirbaş alımları, makine ve teçhizat alımları ile bilimsel araştırma projeleri için gerekli diğer giderleri karşılamak üzere kullanılır.</w:t>
            </w:r>
          </w:p>
          <w:p w14:paraId="34B2BC30"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lastRenderedPageBreak/>
              <w:t>(2) Yılı Yatırım Programında Rektörlük Bilimsel Araştırma Projeleri olarak yer alan ve 11 inci maddenin ikinci fıkrası kapsamında özel hesapta öz gelir olarak izlenen tutarlar gayrimenkul sermaye üretimine yönelik müteahhitlik giderlerini karşılamak üzere kullanılamaz. Ancak, bilimsel araştırma projelerinden özel hesapta hazine yardımı karşılığı olan araştırma altyapısı kurma ve geliştirme projelerine (Yılı Yatırım Programında teknolojik araştırma sektörü içinde yer alan ve Rektörlük Bilimsel Araştırma Projeleri ve bilim insanı yetiştirme projeleri dışında kalan projeler) ilişkin tutarlar gayrimenkul sermaye üretimine yönelik müteahhitlik giderlerini karşılamak üzere kullanılabilir.</w:t>
            </w:r>
          </w:p>
          <w:p w14:paraId="47EA4FEF"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(3) Onaylanan proje planlarında personel çalıştırılması öngörülmediği sürece, bilimsel araştırma projelerinde özel hesaptan personel çalıştırılamaz, bu amaçla herhangi bir ödeme yapılamaz. Yılı yatırım programında yer alan rektörlük bilimsel araştırmaları isimli projeler için ilgili üniversitelerin komisyonlarınca, Yılı Yatırım Programının teknolojik araştırma sektöründe yer alan diğer tüm projeleri için ise Kalkınma Bakanlığınca yapılacak değerlendirme sonucuna göre başkaca herhangi bir kurumdan izin veya vize alınmaksızın ve Maliye Bakanlığı ile Devlet Personel Başkanlığı tarafından belirlenen ücret tavanlarını aşmayacak şekilde projelerde sözleşmeli personel çalıştırılabilir. İlgili mevzuatı gereğince yapılması gereken zorunlu ödemeler, toplam proje maliyeti içinde kalmak kaydıyla ödenebilir.</w:t>
            </w:r>
          </w:p>
          <w:p w14:paraId="03095D25"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(4) Bir önceki yılın yatırım programında yer alıp, yılı yatırım programında yer almayan projelerin özel hesaba aktarılan tutarlarından kullanılamayanlar, yılı yatırım programında teknolojik araştırma sektöründe yer alan projelere rektörlük onayı ile aktarılabilir ve aktarıma ilişkin Kalkınma Bakanlığına bilgi verilir.</w:t>
            </w:r>
          </w:p>
          <w:p w14:paraId="1946F556"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Mali hükümler</w:t>
            </w:r>
          </w:p>
          <w:p w14:paraId="523EB41E"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14 –</w:t>
            </w:r>
            <w:r w:rsidRPr="00954FC5">
              <w:rPr>
                <w:rFonts w:ascii="Times New Roman" w:eastAsia="Times New Roman" w:hAnsi="Times New Roman" w:cs="Times New Roman"/>
                <w:sz w:val="18"/>
                <w:szCs w:val="18"/>
                <w:lang w:eastAsia="tr-TR"/>
              </w:rPr>
              <w:t> (1) Özel hesaba aktarılan tutarlardan yapılan harcamalar ve verilen ön ödemeler bilimsel araştırma projeleri koordinasyon birimince öz gelir ve hazine yardımı karşılığı ayrımı yapılarak, analitik bütçe sınıflandırmasının ekonomik kodlama sistemine uygun olarak dört düzeyli kaydedilir ve izlenir.</w:t>
            </w:r>
          </w:p>
          <w:p w14:paraId="4A90C581"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(2) Bilimsel araştırma projelerinin finansman değişiklikleri ile söz konusu projelerin toplam maliyetini değiştirecek kaynak geçişleri; yılı yatırım programında yer alan hazine yardımı karşılığı bilimsel araştırma projeleri için Yılı Programının Uygulanması, Koordinasyonu ve İzlenmesine Dair Karar hükümleri, diğerlerinde ise bilimsel araştırma projeleri komisyon kararları çerçevesinde gerçekleştirilir.</w:t>
            </w:r>
          </w:p>
          <w:p w14:paraId="2EF5C134"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(3) Gerçekleştirme görevlisinin imzasını müteakip tahakkuk eden bilimsel araştırma projelerine ilişkin giderler, harcama yetkilisinin muhasebe birimine, muhasebe yetkilisinin de bankaya vereceği talimat üzerine özel hesaptan ödenir.</w:t>
            </w:r>
          </w:p>
          <w:p w14:paraId="2501AB7A"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(4) Ön ödeme limitleri, yılı merkezi yönetim bütçe kanununda iller için belirlenen parasal limitin on katıdır. Her bir harcama yetkilisi mutemedi aldığı avanstan harcadığı tutarlara ilişkin kanıtlayıcı belgeleri en çok iki ay, açılan kredilerden harcadığı tutarlara ilişkin kanıtlayıcı belgeleri ise en çok üç ay içerisinde muhasebe birimine vermekle yükümlüdür. Arkeolojik kazı ve alan araştırması gibi uzun süreli saha çalışması gerektiren projeler için Komisyonun onayı ile ön ödeme limitleri yukarıda belirtilen tutarın on katına kadar, ön ödemelerin kapatılma süresi ise altı aya kadar artırılabilir.</w:t>
            </w:r>
          </w:p>
          <w:p w14:paraId="4C1C3B04"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(5) Harcama yetkilisi mutemedi işin tamamlanmasından sonra veya mali yılın sonunda bu sürelerin dolmasını beklemeksizin avans veya kredi artığını iade etmek, henüz mahsubunu yaptırmadığı harcamalara ait belgeleri vermek ve varsa artan parayı muhasebe birimine iade etmek suretiyle mahsup işlemini gerçekleştirmek zorundadır. Bu şekilde mahsup işlemi yapılmadıkça aynı iş için yeniden avans verilemez, kredi açılamaz. Avansın verildiği tarihten önceki bir tarihte düzenlenmiş harcama belgeleri avansın mahsubunda kullanılamaz.</w:t>
            </w:r>
          </w:p>
          <w:p w14:paraId="7210DE2B"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(6) Aldıkları avansın mahsubunu süresi içerisinde yapmayan harcama yetkilisi mutemetleri hakkında 6183 sayılı Kanun hükümleri uygulanır.</w:t>
            </w:r>
          </w:p>
          <w:p w14:paraId="0C281009"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(7) Kazı, arazi ve benzeri saha çalışması gerektiren projelerde araştırmanın yapılabilmesi için zorunlu olan yurt içi özel araç ile yapılacak seyahatlerde yakıt giderleri Komisyonun belirlediği sınırlar dahilinde kalmak üzere karşılanabilir.</w:t>
            </w:r>
          </w:p>
          <w:p w14:paraId="77FBD8D9"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Muhasebeleştirme işlemleri ve belgeleri</w:t>
            </w:r>
          </w:p>
          <w:p w14:paraId="13BAE3C9"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15 –</w:t>
            </w:r>
            <w:r w:rsidRPr="00954FC5">
              <w:rPr>
                <w:rFonts w:ascii="Times New Roman" w:eastAsia="Times New Roman" w:hAnsi="Times New Roman" w:cs="Times New Roman"/>
                <w:sz w:val="18"/>
                <w:szCs w:val="18"/>
                <w:lang w:eastAsia="tr-TR"/>
              </w:rPr>
              <w:t> (1) Özel hesaptan yapılan harcamalarda muhasebeleştirme belgesi olarak 27/12/2014 tarihli ve 29218 mükerrer sayılı Resmî Gazete’de yayımlanan Merkezi Yönetim Muhasebe Yönetmeliğinin ek (01-02)’inde yer alan Ödeme Emri Belgesi, diğer muhasebe işlemelerinde ise Muhasebe İşlem Fişi kullanılır. Muhasebeleştirme belgelerinin ekine harcama belgelerinin asılları eklenir.</w:t>
            </w:r>
          </w:p>
          <w:p w14:paraId="03C15FAE"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(2) Özel hesaba ilişkin mali işlemler aşağıda belirlendiği şekilde muhasebe kayıtlarına alınır:</w:t>
            </w:r>
          </w:p>
          <w:p w14:paraId="2C803888"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a) Yükseköğretim kurumları bütçesinde tefrik edilen ödeneklerden muhasebe birimi adına bankada açılacak özel hesaba aktarılan tutarlar 102-Banka Hesabına borç, 600-Gelirler Hesabına alacak kaydedilir. Özel hesaba aktarılan tutarlar bütçe gelirleri hesabıyla ilişkilendirilmez.</w:t>
            </w:r>
          </w:p>
          <w:p w14:paraId="4E057439"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b) Özel hesaptan yapılan harcamalar 630-Giderler Hesabına ya da varlık alımlarına ilişkin olanlar ilgili varlık hesabına borç, 103-Verilen Çekler ve Gönderme Emirleri Hesabına alacak kaydedilir. Özel hesaptan yapılan harcamalar bütçe giderleri hesabıyla ilişkilendirilmez.</w:t>
            </w:r>
          </w:p>
          <w:p w14:paraId="42489F1A"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c) Özel hesaptan verilen avanslar ile açılan krediler 162-Bütçe Dışı Avanslar Hesabına borç, 103-VeriIen Çekler ve Gönderme Emirleri Hesabına alacak kaydedilir.</w:t>
            </w:r>
          </w:p>
          <w:p w14:paraId="770C6D9A"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proofErr w:type="gramStart"/>
            <w:r w:rsidRPr="00954FC5">
              <w:rPr>
                <w:rFonts w:ascii="Times New Roman" w:eastAsia="Times New Roman" w:hAnsi="Times New Roman" w:cs="Times New Roman"/>
                <w:sz w:val="18"/>
                <w:szCs w:val="18"/>
                <w:lang w:eastAsia="tr-TR"/>
              </w:rPr>
              <w:lastRenderedPageBreak/>
              <w:t>ç</w:t>
            </w:r>
            <w:proofErr w:type="gramEnd"/>
            <w:r w:rsidRPr="00954FC5">
              <w:rPr>
                <w:rFonts w:ascii="Times New Roman" w:eastAsia="Times New Roman" w:hAnsi="Times New Roman" w:cs="Times New Roman"/>
                <w:sz w:val="18"/>
                <w:szCs w:val="18"/>
                <w:lang w:eastAsia="tr-TR"/>
              </w:rPr>
              <w:t>) Verilen avanslar ya da açılan kredilere ilişkin kanıtlayıcı belgeler muhasebe birimine teslim edildiğinde harcama tutarı 630-Giderler Hesabına ya da varlık alımlarına ilişkin olanlar ilgili varlık hesabına borç, 162-Bütçe Dışı Avanslar Hesabına alacak kaydedilir.</w:t>
            </w:r>
          </w:p>
          <w:p w14:paraId="32D59FE3"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d) Süresinde mahsup edilmeyen avans ve kredi tutarları sorumluları adına 140-Kişilerden Alacaklar Hesabına borç, 162-Bütçe Dışı Avanslar Hesabına alacak kaydedilir.</w:t>
            </w:r>
          </w:p>
          <w:p w14:paraId="48639384"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e) Teminat olarak nakden tahsil edilen tutarlar 102-Banka Hesabı ya da diğer ilgili hesaplara borç, vadesine göre 330-Alınan Depozito ve Teminatlar Hesabı ya da 430-Alınan Depozito ve Teminatlar Hesabına alacak kaydedilir.</w:t>
            </w:r>
          </w:p>
          <w:p w14:paraId="2F1F16CE"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f) Alınan teminat mektupları 910-Alınan Teminat Mektupları Hesabına borç, 911-Alınan Teminat Mektupları Emanetleri Hesabına alacak kaydedilir.</w:t>
            </w:r>
          </w:p>
          <w:p w14:paraId="56BAAD3C"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g) Teminat olarak alınan kişilere ait menkul kıymetler, 912-Kişilere Ait Menkul Kıymetler Hesabına borç, 913-Kişilere Ait Menkul Kıymet Emanetleri Hesabına alacak kaydedilir.</w:t>
            </w:r>
          </w:p>
          <w:p w14:paraId="5294ACD0"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proofErr w:type="gramStart"/>
            <w:r w:rsidRPr="00954FC5">
              <w:rPr>
                <w:rFonts w:ascii="Times New Roman" w:eastAsia="Times New Roman" w:hAnsi="Times New Roman" w:cs="Times New Roman"/>
                <w:sz w:val="18"/>
                <w:szCs w:val="18"/>
                <w:lang w:eastAsia="tr-TR"/>
              </w:rPr>
              <w:t>ğ</w:t>
            </w:r>
            <w:proofErr w:type="gramEnd"/>
            <w:r w:rsidRPr="00954FC5">
              <w:rPr>
                <w:rFonts w:ascii="Times New Roman" w:eastAsia="Times New Roman" w:hAnsi="Times New Roman" w:cs="Times New Roman"/>
                <w:sz w:val="18"/>
                <w:szCs w:val="18"/>
                <w:lang w:eastAsia="tr-TR"/>
              </w:rPr>
              <w:t>) Özel hesaplarda bulunan tutarlara ilişkin bankaca tahakkuk ettirilen faiz tutarları ay sonlarında 181-Gelir Tahakkukları Hesabına borç, 600-Gelirler Hesabına alacak kaydedilir. Bankaca özel hesaba aktarılan faiz tutarları 102-Banka Hesabına borç, önceki aylarda tahakkuk etmiş faiz alacakları 181-Gelir Tahakkukları Hesabına, ay içinde tahakkuk eden faiz tutarları ise 600-Gelirler Hesabına alacak kaydedilir.</w:t>
            </w:r>
          </w:p>
          <w:p w14:paraId="2CB6957C"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h) Yukarıda yer alanlar dışında, özel hesaba ilişkin olarak gerçekleşen mali işlemlerin muhasebeleştirilmesinde Merkezi Yönetim Muhasebe Yönetmeliğinin hesabın niteliği, hesaba ilişkin işlemler ve hesabın işleyişi maddeleri işlemin çeşidine göre kullanılır.</w:t>
            </w:r>
          </w:p>
          <w:p w14:paraId="73917B6D"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(3) Satın alınan taşınır mallar, 28/12/2006 tarihli ve 2006/11545 sayılı Bakanlar Kurulu Kararıyla yürürlüğe konulan Taşınır Mal Yönetmeliği gereğince taşınır işlem fişi düzenlenerek yükseköğretim kurumu envanter kayıtlarına alınır. Bu kapsamda edinilen dayanıklı taşınırlar, bunları kullanacak proje yürütücüsüne ya da belirleyeceği kişiye taşınır teslim belgesi ile teslim edilir. Tüketime yönelik mal ve malzemeler ise taşınır işlem fişi düzenlenerek doğrudan proje yürütücüsünün kullanımına verilir.</w:t>
            </w:r>
          </w:p>
          <w:p w14:paraId="2F390C72"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Harcama belgeleri ve muhafazası</w:t>
            </w:r>
          </w:p>
          <w:p w14:paraId="3A9F3107"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16 –</w:t>
            </w:r>
            <w:r w:rsidRPr="00954FC5">
              <w:rPr>
                <w:rFonts w:ascii="Times New Roman" w:eastAsia="Times New Roman" w:hAnsi="Times New Roman" w:cs="Times New Roman"/>
                <w:sz w:val="18"/>
                <w:szCs w:val="18"/>
                <w:lang w:eastAsia="tr-TR"/>
              </w:rPr>
              <w:t> (1) Bilimsel araştırma projeleri kapsamında yapılan harcamaların belgelendirilmesinde 31/12/2005 tarihli ve 26040 üçüncü mükerrer sayılı Resmî Gazete’de yayımlanan Merkezi Yönetim Harcama Belgeleri Yönetmeliği hükümleri uygulanır. Bilimsel araştırma projeleri ile ilgili her türlü işlem ve harcamalara ilişkin belgeler, yükseköğretim kurumunda genel hükümlere göre muhafaza edilir ve denetime hazır halde bulundurulur.</w:t>
            </w:r>
          </w:p>
          <w:p w14:paraId="0828BB8E"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Özel hesap dönemi ve devir</w:t>
            </w:r>
          </w:p>
          <w:p w14:paraId="1DAFDA2E"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17 –</w:t>
            </w:r>
            <w:r w:rsidRPr="00954FC5">
              <w:rPr>
                <w:rFonts w:ascii="Times New Roman" w:eastAsia="Times New Roman" w:hAnsi="Times New Roman" w:cs="Times New Roman"/>
                <w:sz w:val="18"/>
                <w:szCs w:val="18"/>
                <w:lang w:eastAsia="tr-TR"/>
              </w:rPr>
              <w:t> (1) Özel hesabın dönemi takvim yılıdır.</w:t>
            </w:r>
          </w:p>
          <w:p w14:paraId="7E51D4E6"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(2) Özel hesaba aktarılan tutarlardan herhangi bir bilimsel araştırma projesine ayrılan tutarın kullanım imkanının kalmaması halinde, söz konusu tutarlar diğer bilimsel araştırma projelerinin finansmanında kullanılabilir.</w:t>
            </w:r>
          </w:p>
          <w:p w14:paraId="2461729E"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(3) Dönem sonu itibariyle özel hesapta kalan tutarlar, ilgili yükseköğretim kurumu bütçesi ile ilişkilendirilmeksizin ertesi yıla devreder.</w:t>
            </w:r>
          </w:p>
          <w:p w14:paraId="4976E300"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 xml:space="preserve">(4) Kullanılmayan ve ertesi yıla devreden tutarların bilimsel araştırma projeleri ile ilişkilendirilmesinde öz gelir kapsamındaki tutarlarda 11 inci maddenin ikinci fıkrası, hazine yardımı karşılığı tutarlar için ise </w:t>
            </w:r>
            <w:proofErr w:type="gramStart"/>
            <w:r w:rsidRPr="00954FC5">
              <w:rPr>
                <w:rFonts w:ascii="Times New Roman" w:eastAsia="Times New Roman" w:hAnsi="Times New Roman" w:cs="Times New Roman"/>
                <w:sz w:val="18"/>
                <w:szCs w:val="18"/>
                <w:lang w:eastAsia="tr-TR"/>
              </w:rPr>
              <w:t>14 üncü</w:t>
            </w:r>
            <w:proofErr w:type="gramEnd"/>
            <w:r w:rsidRPr="00954FC5">
              <w:rPr>
                <w:rFonts w:ascii="Times New Roman" w:eastAsia="Times New Roman" w:hAnsi="Times New Roman" w:cs="Times New Roman"/>
                <w:sz w:val="18"/>
                <w:szCs w:val="18"/>
                <w:lang w:eastAsia="tr-TR"/>
              </w:rPr>
              <w:t xml:space="preserve"> maddenin ikinci fıkrası uygulanır.</w:t>
            </w:r>
          </w:p>
          <w:p w14:paraId="70EF5B67"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Telif hakları</w:t>
            </w:r>
          </w:p>
          <w:p w14:paraId="2992678B"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18 –</w:t>
            </w:r>
            <w:r w:rsidRPr="00954FC5">
              <w:rPr>
                <w:rFonts w:ascii="Times New Roman" w:eastAsia="Times New Roman" w:hAnsi="Times New Roman" w:cs="Times New Roman"/>
                <w:sz w:val="18"/>
                <w:szCs w:val="18"/>
                <w:lang w:eastAsia="tr-TR"/>
              </w:rPr>
              <w:t> (1) Bilimsel araştırma projeleri birimi tarafından desteklenen projelerden elde edilen bilimsel sonuçların telif hakkı ilgili yükseköğretim kurumuna aittir. Bilimsel yayın, kitap ve benzeri eserlerin telif hakları yükseköğretim kurumunun yönetim kurulu kararı ile kısmen veya tamamen eser sahiplerine devredilebilir.</w:t>
            </w:r>
          </w:p>
          <w:p w14:paraId="709B1357"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(2) Gelir getirici, patent, buluş veya ürün ortaya çıkması durumunda ortaya çıkacak gelirin dağılımı yükseköğretim kurumu yönetim kurulu tarafından belirlenen ilkelere uygun olarak gerçekleştirilir. Konuyla ilgili mevzuatta hak sahiplerine ödenmesi öngörülen oranlar hakkında bir düzenleme bulunması halinde ise ilgili mevzuat hükümleri uygulanır.</w:t>
            </w:r>
          </w:p>
          <w:p w14:paraId="0841D444"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Bütçe ödeneklerinin özel hesaba aktarılması</w:t>
            </w:r>
          </w:p>
          <w:p w14:paraId="6078D84B"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19 – </w:t>
            </w:r>
            <w:r w:rsidRPr="00954FC5">
              <w:rPr>
                <w:rFonts w:ascii="Times New Roman" w:eastAsia="Times New Roman" w:hAnsi="Times New Roman" w:cs="Times New Roman"/>
                <w:sz w:val="18"/>
                <w:szCs w:val="18"/>
                <w:lang w:eastAsia="tr-TR"/>
              </w:rPr>
              <w:t>(l) Ödeneklerin özel hesaba aktarılmasında aşağıdaki hususlara uyulur:</w:t>
            </w:r>
          </w:p>
          <w:p w14:paraId="170E99CD"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a) Yükseköğretim kurumları bütçelerinde bilimsel araştırma projelerine ilişkin olarak tefrik edilen ödenekler, Merkezi Yönetim Harcama Belgeleri Yönetmeliği gereğince ödeme emri belgesine harcama talimatı eklenerek, doğrudan “03- Mal ve Hizmet Alımları” ve “06-Sermaye Giderleri” ekonomik kodlarını içeren tertiplerden tahakkuka bağlanmak suretiyle özel hesaba aktarılır.</w:t>
            </w:r>
          </w:p>
          <w:p w14:paraId="262F1E2C"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b) Ödenekler, serbest bırakma oranları, öz gelir karşılığı ödeneklerde gelir gerçekleşmeleri ve bilimsel araştırma projeleri komisyonunca belirlenen bilimsel araştırma projelerinin kaynak ihtiyaç planları doğrultusunda tahakkuka bağlanarak özel hesaba aktarılır.</w:t>
            </w:r>
          </w:p>
          <w:p w14:paraId="78A54982"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 xml:space="preserve">c) Öz gelir karşılığı bilimsel araştırma projelerine ilişkin olarak önceki yıldan devreden finansman fazlası tutarlar ile yılı bütçelerinin (B) işaretli cetvelinde belirlenen tahmini tutarlar üzerinde gerçekleşen gelir fazlası tutarlar, kullanım amacı doğrultusunda “03-Mal ve Hizmet Alımları” ve “06-Sermaye Giderleri” ekonomik kodlarını içeren tertiplere </w:t>
            </w:r>
            <w:r w:rsidRPr="00954FC5">
              <w:rPr>
                <w:rFonts w:ascii="Times New Roman" w:eastAsia="Times New Roman" w:hAnsi="Times New Roman" w:cs="Times New Roman"/>
                <w:sz w:val="18"/>
                <w:szCs w:val="18"/>
                <w:lang w:eastAsia="tr-TR"/>
              </w:rPr>
              <w:lastRenderedPageBreak/>
              <w:t>ödenek olarak eklenir ve buradan özel hesaba aktarılır. Bilimsel araştırma projelerine ilişkin olarak yıl içerisinde meydana gelen diğer ödenek artışlarına ilişkin bütçe işlemlerinde de aynı esaslara uyulur.</w:t>
            </w:r>
          </w:p>
          <w:p w14:paraId="78020406"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proofErr w:type="gramStart"/>
            <w:r w:rsidRPr="00954FC5">
              <w:rPr>
                <w:rFonts w:ascii="Times New Roman" w:eastAsia="Times New Roman" w:hAnsi="Times New Roman" w:cs="Times New Roman"/>
                <w:sz w:val="18"/>
                <w:szCs w:val="18"/>
                <w:lang w:eastAsia="tr-TR"/>
              </w:rPr>
              <w:t>ç</w:t>
            </w:r>
            <w:proofErr w:type="gramEnd"/>
            <w:r w:rsidRPr="00954FC5">
              <w:rPr>
                <w:rFonts w:ascii="Times New Roman" w:eastAsia="Times New Roman" w:hAnsi="Times New Roman" w:cs="Times New Roman"/>
                <w:sz w:val="18"/>
                <w:szCs w:val="18"/>
                <w:lang w:eastAsia="tr-TR"/>
              </w:rPr>
              <w:t>) Yılı yatırım programında “Proje etüdü Kalkınma Bakanlığı tarafından onaylandıktan sonra harcama yapılacaktır.” ifadesi bulunan bilimsel araştırma projelerine ilişkin ödenekler, proje etüdü Kalkınma Bakanlığı tarafından onaylanmadıkça özel hesaba aktarılamaz ve kullanılamaz.</w:t>
            </w:r>
          </w:p>
          <w:p w14:paraId="00614781"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 xml:space="preserve">d) Özel hesaba aktarılan ödeneklerin proje bazında harcama durumu ve hesap özeti her yıl Eylül ve </w:t>
            </w:r>
            <w:proofErr w:type="gramStart"/>
            <w:r w:rsidRPr="00954FC5">
              <w:rPr>
                <w:rFonts w:ascii="Times New Roman" w:eastAsia="Times New Roman" w:hAnsi="Times New Roman" w:cs="Times New Roman"/>
                <w:sz w:val="18"/>
                <w:szCs w:val="18"/>
                <w:lang w:eastAsia="tr-TR"/>
              </w:rPr>
              <w:t>Aralık</w:t>
            </w:r>
            <w:proofErr w:type="gramEnd"/>
            <w:r w:rsidRPr="00954FC5">
              <w:rPr>
                <w:rFonts w:ascii="Times New Roman" w:eastAsia="Times New Roman" w:hAnsi="Times New Roman" w:cs="Times New Roman"/>
                <w:sz w:val="18"/>
                <w:szCs w:val="18"/>
                <w:lang w:eastAsia="tr-TR"/>
              </w:rPr>
              <w:t xml:space="preserve"> aylarının son haftasında Kalkınma Bakanlığına gönderilir.</w:t>
            </w:r>
          </w:p>
          <w:p w14:paraId="2F00D3F1"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sz w:val="18"/>
                <w:szCs w:val="18"/>
                <w:lang w:eastAsia="tr-TR"/>
              </w:rPr>
              <w:t xml:space="preserve">e) Özel hesaba aktarılan tutarlardan yapılan harcamalar, analitik bütçe sınıflandırmasının ekonomik kodlama sistemine uygun olarak her yılın Ağustos ve </w:t>
            </w:r>
            <w:proofErr w:type="gramStart"/>
            <w:r w:rsidRPr="00954FC5">
              <w:rPr>
                <w:rFonts w:ascii="Times New Roman" w:eastAsia="Times New Roman" w:hAnsi="Times New Roman" w:cs="Times New Roman"/>
                <w:sz w:val="18"/>
                <w:szCs w:val="18"/>
                <w:lang w:eastAsia="tr-TR"/>
              </w:rPr>
              <w:t>Aralık</w:t>
            </w:r>
            <w:proofErr w:type="gramEnd"/>
            <w:r w:rsidRPr="00954FC5">
              <w:rPr>
                <w:rFonts w:ascii="Times New Roman" w:eastAsia="Times New Roman" w:hAnsi="Times New Roman" w:cs="Times New Roman"/>
                <w:sz w:val="18"/>
                <w:szCs w:val="18"/>
                <w:lang w:eastAsia="tr-TR"/>
              </w:rPr>
              <w:t xml:space="preserve"> ayı sonu itibarıyla, takip eden ayın ilk haftasında elektronik ortamda Maliye Bakanlığına gönderilir.</w:t>
            </w:r>
          </w:p>
          <w:p w14:paraId="4DCF813E" w14:textId="77777777" w:rsidR="00954FC5" w:rsidRPr="00954FC5" w:rsidRDefault="00954FC5" w:rsidP="00954FC5">
            <w:pPr>
              <w:spacing w:before="85" w:after="0" w:line="240" w:lineRule="atLeast"/>
              <w:jc w:val="center"/>
              <w:rPr>
                <w:rFonts w:ascii="Times New Roman" w:eastAsia="Times New Roman" w:hAnsi="Times New Roman" w:cs="Times New Roman"/>
                <w:b/>
                <w:bCs/>
                <w:sz w:val="19"/>
                <w:szCs w:val="19"/>
                <w:lang w:eastAsia="tr-TR"/>
              </w:rPr>
            </w:pPr>
            <w:r w:rsidRPr="00954FC5">
              <w:rPr>
                <w:rFonts w:ascii="Times New Roman" w:eastAsia="Times New Roman" w:hAnsi="Times New Roman" w:cs="Times New Roman"/>
                <w:b/>
                <w:bCs/>
                <w:sz w:val="18"/>
                <w:szCs w:val="18"/>
                <w:lang w:eastAsia="tr-TR"/>
              </w:rPr>
              <w:t>DÖRDÜNCÜ BÖLÜM</w:t>
            </w:r>
          </w:p>
          <w:p w14:paraId="2C9E14B2" w14:textId="77777777" w:rsidR="00954FC5" w:rsidRPr="00954FC5" w:rsidRDefault="00954FC5" w:rsidP="00954FC5">
            <w:pPr>
              <w:spacing w:after="85" w:line="240" w:lineRule="atLeast"/>
              <w:jc w:val="center"/>
              <w:rPr>
                <w:rFonts w:ascii="Times New Roman" w:eastAsia="Times New Roman" w:hAnsi="Times New Roman" w:cs="Times New Roman"/>
                <w:b/>
                <w:bCs/>
                <w:sz w:val="19"/>
                <w:szCs w:val="19"/>
                <w:lang w:eastAsia="tr-TR"/>
              </w:rPr>
            </w:pPr>
            <w:r w:rsidRPr="00954FC5">
              <w:rPr>
                <w:rFonts w:ascii="Times New Roman" w:eastAsia="Times New Roman" w:hAnsi="Times New Roman" w:cs="Times New Roman"/>
                <w:b/>
                <w:bCs/>
                <w:sz w:val="18"/>
                <w:szCs w:val="18"/>
                <w:lang w:eastAsia="tr-TR"/>
              </w:rPr>
              <w:t>Çeşitli ve Son Hükümler</w:t>
            </w:r>
          </w:p>
          <w:p w14:paraId="478CBD17"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Yönetmelikte yer almayan hususlar</w:t>
            </w:r>
          </w:p>
          <w:p w14:paraId="7D3EFFAE"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20 –</w:t>
            </w:r>
            <w:r w:rsidRPr="00954FC5">
              <w:rPr>
                <w:rFonts w:ascii="Times New Roman" w:eastAsia="Times New Roman" w:hAnsi="Times New Roman" w:cs="Times New Roman"/>
                <w:sz w:val="18"/>
                <w:szCs w:val="18"/>
                <w:lang w:eastAsia="tr-TR"/>
              </w:rPr>
              <w:t> (1) Bu Yönetmelikte yer almayan hususlar hakkında genel hükümler uygulanır.</w:t>
            </w:r>
          </w:p>
          <w:p w14:paraId="74E3BEBA"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Yürürlükten kaldırılan yönetmelik</w:t>
            </w:r>
          </w:p>
          <w:p w14:paraId="6018E3F9"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21 –</w:t>
            </w:r>
            <w:r w:rsidRPr="00954FC5">
              <w:rPr>
                <w:rFonts w:ascii="Times New Roman" w:eastAsia="Times New Roman" w:hAnsi="Times New Roman" w:cs="Times New Roman"/>
                <w:sz w:val="18"/>
                <w:szCs w:val="18"/>
                <w:lang w:eastAsia="tr-TR"/>
              </w:rPr>
              <w:t> (1) 10/4/2002 tarihli ve 24722 sayılı Resmî Gazete'de yayımlanan Yükseköğretim Kurumları Bilimsel Araştırma Projeleri Hakkında Yönetmelik yürürlükten kaldırılmıştır.</w:t>
            </w:r>
          </w:p>
          <w:p w14:paraId="35EEB1C8"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Geçiş hükmü</w:t>
            </w:r>
          </w:p>
          <w:p w14:paraId="212715D5"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GEÇİCİ MADDE 1 –</w:t>
            </w:r>
            <w:r w:rsidRPr="00954FC5">
              <w:rPr>
                <w:rFonts w:ascii="Times New Roman" w:eastAsia="Times New Roman" w:hAnsi="Times New Roman" w:cs="Times New Roman"/>
                <w:sz w:val="18"/>
                <w:szCs w:val="18"/>
                <w:lang w:eastAsia="tr-TR"/>
              </w:rPr>
              <w:t> (1) Bu Yönetmeliğin yürürlüğe girdiği tarih itibarıyla, 333-Emanetler Hesabında kayıtlı tutarlar, bu hesaba borç, 600-Gelirler Hesabına alacak kaydedilir.</w:t>
            </w:r>
          </w:p>
          <w:p w14:paraId="737D4D7D"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Yürürlük</w:t>
            </w:r>
          </w:p>
          <w:p w14:paraId="2912AEB2"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22 –</w:t>
            </w:r>
            <w:r w:rsidRPr="00954FC5">
              <w:rPr>
                <w:rFonts w:ascii="Times New Roman" w:eastAsia="Times New Roman" w:hAnsi="Times New Roman" w:cs="Times New Roman"/>
                <w:sz w:val="18"/>
                <w:szCs w:val="18"/>
                <w:lang w:eastAsia="tr-TR"/>
              </w:rPr>
              <w:t> (1) Bu Yönetmelik yayımı tarihinde yürürlüğe girer.</w:t>
            </w:r>
          </w:p>
          <w:p w14:paraId="4CC4A6EC"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Yürütme</w:t>
            </w:r>
          </w:p>
          <w:p w14:paraId="2F4497C8" w14:textId="77777777" w:rsidR="00954FC5" w:rsidRPr="00954FC5" w:rsidRDefault="00954FC5" w:rsidP="00954FC5">
            <w:pPr>
              <w:spacing w:after="0" w:line="240" w:lineRule="atLeast"/>
              <w:ind w:firstLine="566"/>
              <w:jc w:val="both"/>
              <w:rPr>
                <w:rFonts w:ascii="Times New Roman" w:eastAsia="Times New Roman" w:hAnsi="Times New Roman" w:cs="Times New Roman"/>
                <w:sz w:val="19"/>
                <w:szCs w:val="19"/>
                <w:lang w:eastAsia="tr-TR"/>
              </w:rPr>
            </w:pPr>
            <w:r w:rsidRPr="00954FC5">
              <w:rPr>
                <w:rFonts w:ascii="Times New Roman" w:eastAsia="Times New Roman" w:hAnsi="Times New Roman" w:cs="Times New Roman"/>
                <w:b/>
                <w:bCs/>
                <w:sz w:val="18"/>
                <w:szCs w:val="18"/>
                <w:lang w:eastAsia="tr-TR"/>
              </w:rPr>
              <w:t>MADDE 23 –</w:t>
            </w:r>
            <w:r w:rsidRPr="00954FC5">
              <w:rPr>
                <w:rFonts w:ascii="Times New Roman" w:eastAsia="Times New Roman" w:hAnsi="Times New Roman" w:cs="Times New Roman"/>
                <w:sz w:val="18"/>
                <w:szCs w:val="18"/>
                <w:lang w:eastAsia="tr-TR"/>
              </w:rPr>
              <w:t> (1) Bu Yönetmelik hükümlerini Yükseköğretim Kurulu Başkanı yürütür.</w:t>
            </w:r>
          </w:p>
        </w:tc>
      </w:tr>
    </w:tbl>
    <w:p w14:paraId="1DB7266B" w14:textId="77777777" w:rsidR="00491E6C" w:rsidRDefault="00491E6C">
      <w:bookmarkStart w:id="0" w:name="_GoBack"/>
      <w:bookmarkEnd w:id="0"/>
    </w:p>
    <w:sectPr w:rsidR="00491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6C"/>
    <w:rsid w:val="00491E6C"/>
    <w:rsid w:val="00954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2F35A-5089-40E5-B54D-D8C718E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2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3924</Words>
  <Characters>22373</Characters>
  <Application>Microsoft Office Word</Application>
  <DocSecurity>0</DocSecurity>
  <Lines>186</Lines>
  <Paragraphs>52</Paragraphs>
  <ScaleCrop>false</ScaleCrop>
  <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ÖZ</dc:creator>
  <cp:keywords/>
  <dc:description/>
  <cp:lastModifiedBy>Aysun ÖZ</cp:lastModifiedBy>
  <cp:revision>2</cp:revision>
  <dcterms:created xsi:type="dcterms:W3CDTF">2020-07-24T06:35:00Z</dcterms:created>
  <dcterms:modified xsi:type="dcterms:W3CDTF">2020-07-24T06:35:00Z</dcterms:modified>
</cp:coreProperties>
</file>